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74" w:rsidRDefault="004D3774" w:rsidP="004D3774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WZÓR</w:t>
      </w: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32"/>
          <w:szCs w:val="32"/>
        </w:rPr>
        <w:t>odwołania od decyzji odmownej do komendanta nadrzędnego</w:t>
      </w:r>
    </w:p>
    <w:p w:rsidR="004D3774" w:rsidRDefault="004D3774" w:rsidP="004D37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Przed skorzystaniem ze wzoru proszę zapoznać się z „mapą drogową”.</w:t>
      </w: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Proszę o zweryfikowanie proponowanej treści Odwołania pod kątem zgodności  z otrzymaną wcześniej decyzją odmowną.</w:t>
      </w:r>
    </w:p>
    <w:p w:rsidR="004D3774" w:rsidRDefault="004D3774" w:rsidP="004D37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Odwołanie nie wymaga szczegółowego uzasadnienia. </w:t>
      </w:r>
    </w:p>
    <w:p w:rsidR="004D3774" w:rsidRDefault="004D3774" w:rsidP="004D377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Wystarczy, jeżeli z odwołania wynika, że strona nie jest zadowolona z wydanej decyzji. (art. 128 Kodeksu postępowania administracyjnego).</w:t>
      </w:r>
    </w:p>
    <w:p w:rsidR="004D3774" w:rsidRDefault="004D3774" w:rsidP="004D3774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Uzasadnienie zawarte we wzorze uwzględnia aktualną sytuację prawną czyli stan po wejściu w życie ustawy </w:t>
      </w:r>
      <w:r>
        <w:rPr>
          <w:rFonts w:ascii="Times New Roman" w:hAnsi="Times New Roman" w:cs="Times New Roman"/>
          <w:i/>
          <w:iCs/>
          <w:sz w:val="28"/>
          <w:szCs w:val="28"/>
        </w:rPr>
        <w:t>z dnia 14 sierpnia 2020 r. o szczególnych rozwiązaniach dotyczących wsparcia służb mundurowych nadzorowanych przez ministra właściwego do spraw wewnętrznych, o zmianie ustawy o Służbie Więziennej oraz niektórych innych usta</w:t>
      </w:r>
      <w:r>
        <w:rPr>
          <w:rStyle w:val="igpindeksgrnyipogrubienie"/>
          <w:rFonts w:ascii="Times New Roman" w:hAnsi="Times New Roman"/>
          <w:i/>
          <w:iCs/>
          <w:color w:val="000000"/>
          <w:sz w:val="28"/>
          <w:szCs w:val="28"/>
        </w:rPr>
        <w:t>w</w:t>
      </w:r>
    </w:p>
    <w:p w:rsidR="004D3774" w:rsidRDefault="004D3774" w:rsidP="004D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……………………….., dnia …….... r.</w:t>
      </w:r>
    </w:p>
    <w:p w:rsidR="004D3774" w:rsidRDefault="004D3774" w:rsidP="004D3774">
      <w:pPr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Imię i nazwisko, adres</w:t>
      </w: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………………………………………………..</w:t>
      </w:r>
    </w:p>
    <w:p w:rsidR="004D3774" w:rsidRDefault="004D3774" w:rsidP="004D3774">
      <w:pPr>
        <w:rPr>
          <w:rFonts w:cstheme="minorBidi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Pan…………………………...</w:t>
      </w: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KOMENDANT</w:t>
      </w:r>
      <w:r>
        <w:rPr>
          <w:rFonts w:ascii="Times New Roman" w:hAnsi="Times New Roman" w:cs="Times New Roman"/>
          <w:sz w:val="28"/>
          <w:szCs w:val="28"/>
        </w:rPr>
        <w:t xml:space="preserve"> (Wojewódzki,</w:t>
      </w: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Stołeczny, Główny)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4D3774" w:rsidRDefault="004D3774" w:rsidP="004D3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</w:rPr>
        <w:t xml:space="preserve">                   za pośrednictwem </w:t>
      </w:r>
    </w:p>
    <w:p w:rsidR="004D3774" w:rsidRDefault="004D3774" w:rsidP="004D3774">
      <w:pPr>
        <w:jc w:val="right"/>
        <w:rPr>
          <w:rFonts w:cstheme="minorBidi"/>
        </w:rPr>
      </w:pPr>
    </w:p>
    <w:p w:rsidR="004D3774" w:rsidRDefault="004D3774" w:rsidP="004D3774">
      <w:pPr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KOMENDANTA </w:t>
      </w:r>
      <w:r>
        <w:rPr>
          <w:rFonts w:ascii="Times New Roman" w:hAnsi="Times New Roman" w:cs="Times New Roman"/>
          <w:sz w:val="28"/>
          <w:szCs w:val="28"/>
        </w:rPr>
        <w:t xml:space="preserve">(Powiatowego, Miejskiego, </w:t>
      </w:r>
    </w:p>
    <w:p w:rsidR="004D3774" w:rsidRDefault="004D3774" w:rsidP="004D3774">
      <w:pPr>
        <w:jc w:val="right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Wojewódzkiego, Stołecznego, Głównego) </w:t>
      </w:r>
      <w:r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cstheme="minorBidi"/>
        </w:rPr>
      </w:pPr>
    </w:p>
    <w:p w:rsidR="004D3774" w:rsidRDefault="004D3774" w:rsidP="004D3774">
      <w:pPr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 D W O Ł A N I E</w:t>
      </w: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Default="004D3774" w:rsidP="004D3774">
      <w:pPr>
        <w:ind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Na podstawie art. 127 §1 i 129 §1 Kodeksu postępowania administracyjnego niniejszym wnoszę odwołanie od Decyzji Komendanta  ………………. Policji nr ……….. z dnia ………………… r., którą otrzymałam/</w:t>
      </w:r>
      <w:proofErr w:type="spellStart"/>
      <w:r>
        <w:rPr>
          <w:rFonts w:ascii="Times New Roman" w:hAnsi="Times New Roman" w:cs="Times New Roman"/>
        </w:rPr>
        <w:t>łem</w:t>
      </w:r>
      <w:proofErr w:type="spellEnd"/>
      <w:r>
        <w:rPr>
          <w:rFonts w:ascii="Times New Roman" w:hAnsi="Times New Roman" w:cs="Times New Roman"/>
        </w:rPr>
        <w:t xml:space="preserve"> w dniu ………………. .</w:t>
      </w:r>
    </w:p>
    <w:p w:rsidR="004D3774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Default="004D3774" w:rsidP="004D3774">
      <w:pPr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     Ponadto na podstawie art. 138 §1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2) wnoszę o uchylenie w całości Decyzji Komendanta ………………. Policji  nr ………………….. z dnia ………… r. i orzeczenie co do istoty sprawy, a także spowodowanie wypłacenia mi wyrównania ekwiwalentu za niewykorzystany urlop wraz     z ustawowymi odsetkami.</w:t>
      </w:r>
    </w:p>
    <w:p w:rsidR="004D3774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A453A9" w:rsidRDefault="00A453A9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Default="004D3774" w:rsidP="004D3774">
      <w:pPr>
        <w:jc w:val="center"/>
        <w:rPr>
          <w:rFonts w:cstheme="minorBidi"/>
        </w:rPr>
      </w:pPr>
    </w:p>
    <w:p w:rsidR="004D3774" w:rsidRDefault="004D3774" w:rsidP="004D3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Dnia ……… r. zwróciłam/</w:t>
      </w:r>
      <w:proofErr w:type="spellStart"/>
      <w:r w:rsidRPr="00A17EDC">
        <w:rPr>
          <w:rFonts w:ascii="Times New Roman" w:hAnsi="Times New Roman" w:cs="Times New Roman"/>
        </w:rPr>
        <w:t>łem</w:t>
      </w:r>
      <w:proofErr w:type="spellEnd"/>
      <w:r w:rsidRPr="00A17EDC">
        <w:rPr>
          <w:rFonts w:ascii="Times New Roman" w:hAnsi="Times New Roman" w:cs="Times New Roman"/>
        </w:rPr>
        <w:t xml:space="preserve"> się z Wnioskiem do Komendanta ……………… Policji      o wyrównanie należności za ekwiwalent niewykorzystanego urlopu wypoczynkowego              </w:t>
      </w:r>
      <w:r w:rsidRPr="00A17EDC">
        <w:rPr>
          <w:rFonts w:ascii="Times New Roman" w:hAnsi="Times New Roman" w:cs="Times New Roman"/>
          <w:i/>
          <w:iCs/>
        </w:rPr>
        <w:t xml:space="preserve">(i dodatkowego) </w:t>
      </w:r>
      <w:r w:rsidRPr="00A17EDC">
        <w:rPr>
          <w:rFonts w:ascii="Times New Roman" w:hAnsi="Times New Roman" w:cs="Times New Roman"/>
        </w:rPr>
        <w:t>w wymiarze …. dni. Prawo do ekwiwalentu nabyła/</w:t>
      </w:r>
      <w:proofErr w:type="spellStart"/>
      <w:r w:rsidRPr="00A17EDC">
        <w:rPr>
          <w:rFonts w:ascii="Times New Roman" w:hAnsi="Times New Roman" w:cs="Times New Roman"/>
        </w:rPr>
        <w:t>łem</w:t>
      </w:r>
      <w:proofErr w:type="spellEnd"/>
      <w:r w:rsidRPr="00A17EDC">
        <w:rPr>
          <w:rFonts w:ascii="Times New Roman" w:hAnsi="Times New Roman" w:cs="Times New Roman"/>
        </w:rPr>
        <w:t xml:space="preserve"> przechodząc dnia …………… r. na emeryturę/rentę policyjną. 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</w:rPr>
        <w:t>W  Decyzji z dnia ………….. Komendant ……….. Policji odmówił mi wyrównania ekwiwalentu przywołując zapisy ustawy z dnia 14 sierpnia 2020 r. o szczególnych rozwiązaniach dotyczących wsparcia służb mundurowych nadzorowanych przez ministra właściwego do spraw wewnętrznych, o zmianie ustawy o Służbie Więziennej oraz niektórych innych usta</w:t>
      </w:r>
      <w:bookmarkStart w:id="0" w:name="_ftnref11"/>
      <w:bookmarkEnd w:id="0"/>
      <w:r w:rsidRPr="00A17EDC">
        <w:rPr>
          <w:rStyle w:val="igpindeksgrnyipogrubienie"/>
          <w:rFonts w:hAnsi="Times New Roman"/>
          <w:color w:val="000000"/>
        </w:rPr>
        <w:t xml:space="preserve">w (Dz. U. poz. 1610) (zwanej dalej ustawą o szczególnych rozwiązaniach). Ustawa weszła w życie </w:t>
      </w:r>
      <w:r w:rsidRPr="00A17EDC">
        <w:rPr>
          <w:rFonts w:hAnsi="Times New Roman"/>
        </w:rPr>
        <w:t xml:space="preserve">dnia 1 października 2020 r. 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Style w:val="igpindeksgrnyipogrubienie"/>
          <w:rFonts w:hAnsi="Times New Roman"/>
          <w:color w:val="000000"/>
        </w:rPr>
        <w:t xml:space="preserve">Zgodnie z art. 1 </w:t>
      </w:r>
      <w:proofErr w:type="spellStart"/>
      <w:r w:rsidRPr="00A17EDC">
        <w:rPr>
          <w:rStyle w:val="igpindeksgrnyipogrubienie"/>
          <w:rFonts w:hAnsi="Times New Roman"/>
          <w:color w:val="000000"/>
        </w:rPr>
        <w:t>pkt</w:t>
      </w:r>
      <w:proofErr w:type="spellEnd"/>
      <w:r w:rsidRPr="00A17EDC">
        <w:rPr>
          <w:rStyle w:val="igpindeksgrnyipogrubienie"/>
          <w:rFonts w:hAnsi="Times New Roman"/>
          <w:color w:val="000000"/>
        </w:rPr>
        <w:t xml:space="preserve"> </w:t>
      </w:r>
      <w:r w:rsidRPr="00A17EDC">
        <w:rPr>
          <w:rFonts w:hAnsi="Times New Roman"/>
        </w:rPr>
        <w:t>16 ustawy o szczególnych rozwiązaniach - art. 115a ustawy o Policji otrzymał brzmienie - „Ekwiwalent pieniężny za 1 dzień niewykorzystanego urlopu wypoczynkowego lub dodatkowego ustala się w wysokości 1/21 części miesięcznego uposażenia zasadniczego wraz       z dodatkami o charakterze stałym należnego policjantowi na ostatnio zajmowanym stanowisku służbowym.”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</w:rPr>
        <w:t>Zgodnie z art. 9 ust. 1 ustawy o szczególnych rozwiązaniach - przepis art. 115a (…) stosuje się   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</w:rPr>
        <w:t xml:space="preserve">Konkludując swoje uzasadnienie organ Policji stwierdził, że wobec policjantów zwolnionych      ze służby przed dniem 6 listopada 2018 r. wysokość ekwiwalentu za niewykorzystany urlop </w:t>
      </w:r>
      <w:r w:rsidRPr="00A17EDC">
        <w:rPr>
          <w:rFonts w:hAnsi="Times New Roman"/>
          <w:bCs/>
        </w:rPr>
        <w:t xml:space="preserve">ustala się na zasadach wynikających z przepisów ustawy o Policji (art. 115a) w brzmieniu obowiązującym przed dniem 6 listopada 2018 r., czyli przelicznikiem 1/30 części miesięcznego uposażenia         za 1 dzień niewykorzystanego urlopu wypoczynkowego lub dodatkowego. </w:t>
      </w:r>
    </w:p>
    <w:p w:rsidR="004D3774" w:rsidRPr="00A17EDC" w:rsidRDefault="004D3774" w:rsidP="004D3774">
      <w:pPr>
        <w:pStyle w:val="oznrodzaktutznustawalubrozporzdzenieiorganwydajcy"/>
        <w:jc w:val="both"/>
        <w:rPr>
          <w:rFonts w:hAnsi="Times New Roman"/>
        </w:rPr>
      </w:pPr>
      <w:r w:rsidRPr="00A17EDC">
        <w:rPr>
          <w:rFonts w:hAnsi="Times New Roman"/>
          <w:bCs/>
        </w:rPr>
        <w:t>Kończąc swoją argumentację organ stwierdził, że zgodnie z obowiązującymi przepisami norma art. 115a ustawy o Policji w brzmieniu obowiązującym na dzień wydania niniejszej decyzji determinuje sposób załatwienia mojej sprawy, który nie może być inny niż w ………… roku. (r</w:t>
      </w:r>
      <w:r w:rsidRPr="00A17EDC">
        <w:rPr>
          <w:rFonts w:hAnsi="Times New Roman"/>
          <w:bCs/>
          <w:i/>
          <w:iCs/>
        </w:rPr>
        <w:t xml:space="preserve">ok przejścia     na emeryturę/rentę). </w:t>
      </w:r>
      <w:r w:rsidRPr="00A17EDC">
        <w:rPr>
          <w:rFonts w:hAnsi="Times New Roman"/>
          <w:bCs/>
        </w:rPr>
        <w:t xml:space="preserve">Oznacza to, że należy mi się ekwiwalent pieniężny za niewykorzystany urlop w wysokości wówczas określonej. Na podstawie przepisów obowiązujących od dnia 1 października 2020 roku organ nie jest upoważniony do dokonania wypłaty uzupełniającej. </w:t>
      </w:r>
    </w:p>
    <w:p w:rsidR="004D3774" w:rsidRPr="00A17EDC" w:rsidRDefault="004D3774" w:rsidP="004D3774">
      <w:pPr>
        <w:spacing w:line="276" w:lineRule="auto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ab/>
      </w:r>
    </w:p>
    <w:p w:rsidR="004D3774" w:rsidRPr="00A17EDC" w:rsidRDefault="004D3774" w:rsidP="004D377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Z argumentacją organu w nie zgadzam się.</w:t>
      </w:r>
    </w:p>
    <w:p w:rsidR="004D3774" w:rsidRPr="00A17EDC" w:rsidRDefault="004D3774" w:rsidP="004D3774">
      <w:pPr>
        <w:spacing w:line="276" w:lineRule="auto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Mój wniosek o wyrównanie ekwiwalentu za niewykorzystany urlop pozostawał w związku z wyrokiem Trybunału Konstytucyjnego z dnia 30 października 2018 r. w sprawie sygn. akt K 7/15 opublikowanym dnia 06 listopada 2018 r. (Dz. U.  poz. 2102) dotyczącym art. 115a ustawy z dnia 06 kwietnia 1990 r. o Policji (Dz. U. </w:t>
      </w:r>
      <w:r w:rsidRPr="00A17EDC">
        <w:rPr>
          <w:rFonts w:ascii="Times New Roman" w:hAnsi="Times New Roman" w:cs="Times New Roman"/>
          <w:color w:val="000000"/>
        </w:rPr>
        <w:t>2019 poz. 161</w:t>
      </w:r>
      <w:r w:rsidRPr="00A17EDC">
        <w:rPr>
          <w:rFonts w:ascii="Times New Roman" w:hAnsi="Times New Roman" w:cs="Times New Roman"/>
        </w:rPr>
        <w:t xml:space="preserve"> ze </w:t>
      </w:r>
      <w:proofErr w:type="spellStart"/>
      <w:r w:rsidRPr="00A17EDC">
        <w:rPr>
          <w:rFonts w:ascii="Times New Roman" w:hAnsi="Times New Roman" w:cs="Times New Roman"/>
        </w:rPr>
        <w:t>zm</w:t>
      </w:r>
      <w:proofErr w:type="spellEnd"/>
      <w:r w:rsidRPr="00A17EDC">
        <w:rPr>
          <w:rFonts w:ascii="Times New Roman" w:hAnsi="Times New Roman" w:cs="Times New Roman"/>
        </w:rPr>
        <w:t xml:space="preserve">). </w:t>
      </w:r>
      <w:r w:rsidRPr="00A17EDC">
        <w:rPr>
          <w:rFonts w:ascii="Times New Roman" w:hAnsi="Times New Roman" w:cs="Times New Roman"/>
          <w:color w:val="000000"/>
        </w:rPr>
        <w:t>Trybunał Konstytucyjny, wymienionym wyrokiem, wyeliminował z obrotu prawnego fragment art. 115a ustawy o Policji określający wymiar 1/30 części miesięcznego uposażenia jako stanowiący ekwiwalent za urlop, wskazując jednocześnie w uzasadnieniu techniczne przesłanki do prawidłowego dokonania naliczenia ekwiwalentu.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Zgodnie z art. 190 ust.1 Konstytucji RP - orzeczenia TK są ostateczne i mają charakter powszechny. Tymczasem, mimo tego, po prawie dwóch latach zapowiedzi o konieczności ustawowego uregulowania kwestii będącej przedmiotem mojego wniosku, ponownie wpisano do ustawy, że w okresie pomiędzy 19 października 2001 roku i 5 listopada 2018 roku nadal będzie obowiązywał zapis, który TK uznał za niekonstytucyjny.</w:t>
      </w:r>
    </w:p>
    <w:p w:rsidR="004D3774" w:rsidRPr="00A17EDC" w:rsidRDefault="004D3774" w:rsidP="004D3774">
      <w:pPr>
        <w:ind w:firstLine="708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Całkowicie nie do zaakceptowania jest decyzja podjęta w opozycji do jednolitej linii orzeczniczej przyjętej przez NSA i wojewódzkie sądy administracyjne, które jednoznacznie stwierdzają, że realizacja wniosku o wyrównanie ekwiwalentu powinna następować zarówno       w warunkach zaniechania ustawodawczego /które trwało prawie dwa lata/, jak i w obecnej sytuacji, tj. próby „zniesienia” wyroku TK ustawą zwykłą. 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Na poparcie powyższego przytoczę kilka zdań z uzasadnienia wyroku Wojewódzkiego Sądu Administracyjnego w Krakowie z 30 września 2020 roku, sygn. akt III SA/Kr 614/20, który podzielam w całości - 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„W związku z powyższym wyrok Trybunału Konstytucyjnego z dnia 30 października 2018 r., sygn. akt K 7/15 "przyznał" policjantowi prawo do wyższego ekwiwalentu pieniężnego                  za niewykorzystany urlop od chwili wejścia w życie ustawy z dnia 27 lipca 2001 r. o zmianie ustawy o Policji... (Dz. U. 100 poz. 1084), która wprowadziła niekompatybilność zmiany systemu urlopu 30-dniowego liczonego w dniach kalendarzowych na system 26-dniowy liczony w dniach roboczych z wprowadzeniem do ustawy o Policji art. 115a. Inne stanowisko byłoby sprzeczne       z regułami demokratycznego państwa prawnego, urzeczywistniającego zasady sprawiedliwości społecznej z uwagi na konieczność ochrony innych wartości konstytucyjnych (por. wyrok NSA      z dnia 3 grudnia 2014 r., sygn. akt II OSK 2311/14).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kontrolowanej sprawie jest to prawo gwarantowane treścią art. 66 ust. 2 Konstytucji, tj. prawo   do urlopu i jego ekwiwalentu pieniężnego, które - jak to podkreślał w powołanym wyżej             i omawianym wyroku Trybunał Konstytucyjny - mają charakter bezwarunkowy.”/…/„Konstytucja przesądza o samym fakcie sanacji indywidualnych stosunków prawnych, wyznaczając cel "wznowienia" w trybie procedur ukształtowanych w ustawach. Z tego względu jakiekolwiek ograniczenia art. 190 ust. 4 Konstytucji są dopuszczalne jedynie wówczas, gdy uzasadnia           to dyspozycja konkretnego przepisu Konstytucji, który wyłączałby wznawianie postępowania jako sprzeczne z konstytucyjną istotą danej instytucji prawnej. </w:t>
      </w:r>
      <w:r w:rsidRPr="00A17EDC">
        <w:rPr>
          <w:rFonts w:ascii="Times New Roman" w:hAnsi="Times New Roman" w:cs="Times New Roman"/>
          <w:b/>
          <w:bCs/>
        </w:rPr>
        <w:t>Niedopuszczalne jest więc ograniczanie zasady "wzruszalności" aktów stosowania prawa wynikającej z art. 190 ust. 4 Konstytucji poprzez regulacje wprowadzone w ustawach zwykłych, czy to wprost, czy też na skutek ich wykładni, albowiem godziłoby to w zasadę nadrzędności Konstytucji wynikającą z art. 8 ust.   1 Konstytucji.</w:t>
      </w:r>
      <w:r w:rsidRPr="00A17EDC">
        <w:rPr>
          <w:rFonts w:ascii="Times New Roman" w:hAnsi="Times New Roman" w:cs="Times New Roman"/>
        </w:rPr>
        <w:t xml:space="preserve"> Sąd podkreśla, że w zakresie tym podziela w pełni uchwałę Naczelnego Sądu Administracyjnego z dnia 28 czerwca 2010 r., sygn. akt II GPS 1/10, </w:t>
      </w:r>
      <w:proofErr w:type="spellStart"/>
      <w:r w:rsidRPr="00A17EDC">
        <w:rPr>
          <w:rFonts w:ascii="Times New Roman" w:hAnsi="Times New Roman" w:cs="Times New Roman"/>
        </w:rPr>
        <w:t>opubl</w:t>
      </w:r>
      <w:proofErr w:type="spellEnd"/>
      <w:r w:rsidRPr="00A17EDC">
        <w:rPr>
          <w:rFonts w:ascii="Times New Roman" w:hAnsi="Times New Roman" w:cs="Times New Roman"/>
        </w:rPr>
        <w:t xml:space="preserve">. </w:t>
      </w:r>
      <w:proofErr w:type="spellStart"/>
      <w:r w:rsidRPr="00A17EDC">
        <w:rPr>
          <w:rFonts w:ascii="Times New Roman" w:hAnsi="Times New Roman" w:cs="Times New Roman"/>
        </w:rPr>
        <w:t>ONSAiWSA</w:t>
      </w:r>
      <w:proofErr w:type="spellEnd"/>
      <w:r w:rsidRPr="00A17EDC">
        <w:rPr>
          <w:rFonts w:ascii="Times New Roman" w:hAnsi="Times New Roman" w:cs="Times New Roman"/>
        </w:rPr>
        <w:t xml:space="preserve"> 2010/5/81). Powyższe oznacza, że nie można przez instytucję przedawnienia unicestwiać uprawnienia jednostki do przywrócenia stanu konstytucyjności po stwierdzeniu przez Trybunał Konstytucyjny niekonstytucyjności prawnej podstawy czynności materialno-technicznej wypłaty ekwiwalentu za niewykorzystany urlop. </w:t>
      </w:r>
      <w:r w:rsidRPr="00A17EDC">
        <w:rPr>
          <w:rFonts w:ascii="Times New Roman" w:hAnsi="Times New Roman" w:cs="Times New Roman"/>
          <w:b/>
          <w:bCs/>
        </w:rPr>
        <w:t>Takie działania organów Policji godzą również          w konstytucyjną zasadę państwa prawa (art. 2 Konstytucji) i wywodzoną z niej zasadą ochrony zaufania obywateli do państwa i stanowionego przez nie prawa.”.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Zatem norma</w:t>
      </w:r>
      <w:r w:rsidRPr="00A17EDC">
        <w:rPr>
          <w:rFonts w:ascii="Times New Roman" w:hAnsi="Times New Roman" w:cs="Times New Roman"/>
        </w:rPr>
        <w:t xml:space="preserve"> art. 9 ust. 1 ustawy o szczególnych rozwiązaniach </w:t>
      </w:r>
      <w:r w:rsidRPr="00637F9C">
        <w:rPr>
          <w:rFonts w:ascii="Times New Roman" w:hAnsi="Times New Roman" w:cs="Times New Roman"/>
          <w:i/>
        </w:rPr>
        <w:t>(przepis art. 115a (…) stosuje się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r.) w zakresie w jakim pozbawia funkcjonariuszy, którzy odeszli na emeryturę/rentę po 19 października 2001 r. a przed     6 listopada 2018 r.)</w:t>
      </w:r>
      <w:r w:rsidRPr="00A17EDC">
        <w:rPr>
          <w:rFonts w:ascii="Times New Roman" w:hAnsi="Times New Roman" w:cs="Times New Roman"/>
        </w:rPr>
        <w:t xml:space="preserve"> stoi w sprzeczności </w:t>
      </w:r>
      <w:r>
        <w:rPr>
          <w:rFonts w:ascii="Times New Roman" w:hAnsi="Times New Roman" w:cs="Times New Roman"/>
        </w:rPr>
        <w:t>z orzeczeniem</w:t>
      </w:r>
      <w:r w:rsidRPr="00A17EDC">
        <w:rPr>
          <w:rFonts w:ascii="Times New Roman" w:hAnsi="Times New Roman" w:cs="Times New Roman"/>
        </w:rPr>
        <w:t xml:space="preserve"> składu orzekającego w sprawie sygn. akt K 7/15.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pStyle w:val="Tre9ce6tekstu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>Obecnie w orzecznictwie sądów administracyjnych dominuje pogląd wyrażony przez NSA         w wyroku z 6 lutego 2008 r. (II OSK 1745/07), że przepis uznany przez TK za niekonstytucyjny     ma taki charakter od samego początku, tj. od dnia jego wejścia w życie. – NSA odrzuca stanowisko,    że wyrok TK wywołuje skutki jedynie na przyszłość – zauważa dr Jarosław Sułkowski z Zespołu Wstępnej Kontroli Skarg Konstytucyjnych i Wniosków w Biurze TK.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Naczelny Sąd Administracyjny w uchwale z dnia 28 czerwca 2010 r. (II GPS 1/10) stwierdził, że celem procedury musi być „realne zagwarantowanie skutku w postaci uprawnienia do ponownego rozstrzygnięcia sprawy w nowym stanie prawnym, ustalonym orzeczeniem TK”. Dlatego – zdaniem NSA – jakiekolwiek ograniczenia art. 190 ust. 4 Konstytucji (nieważność niekonstytucyjnego przepisu z mocą wsteczną) są dopuszczalne tylko wtedy, gdy uzasadnia       to dyspozycja konkretnego przepisu Konstytucji, który wyłącza wznawianie postępowania (odnosi się to np. do niedopuszczalności wznowienia postępowania, w którym orzeczono unieważnienie małżeństwa lub rozwód, albo ustalono nieistnienie małżeństwa, jeżeli choćby jedna ze stron zawarła po uprawomocnieniu się takiego orzeczenia nowy związek małżeński – art. 18 Konstytucji). 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pStyle w:val="Nagb3f3wek2"/>
        <w:spacing w:before="0" w:after="0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17E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Wojewódzki Sądu Administracyjny w Olsztynie wyroku z dnia 11 czerwca 2019 r. II SA/Ol 364/19, – w sprawie skargi A. K. na decyzję Komendanta Wojewódzkiego Policji z dnia "(...)"     nr "(...)" w przedmiocie wypłaty wyrównania ekwiwalentu za niewykorzystany urlop - odniósł się uzasadnieniu do zagadnienia mocy wstecznej wyroków Trybunału Konstytucyjnego. </w:t>
      </w:r>
    </w:p>
    <w:p w:rsidR="004D3774" w:rsidRPr="00A17EDC" w:rsidRDefault="004D3774" w:rsidP="004D3774">
      <w:pPr>
        <w:pStyle w:val="Nagb3f3wek2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17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„(…) Zatem art. 190 ust. 4 Konstytucji określa naprawienie skutków obowiązywania niekonstytucyjnego przepisu obowiązującego do chwili wejścia w życie "w stosunku do ukształtowanych i skonsumowanych zaszłości prawnych". Przepis ten przewiduje możliwość zainicjowania właściwej procedury </w:t>
      </w:r>
      <w:proofErr w:type="spellStart"/>
      <w:r w:rsidRPr="00A17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wznowieniowej</w:t>
      </w:r>
      <w:proofErr w:type="spellEnd"/>
      <w:r w:rsidRPr="00A17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, która pozwoli na rozpatrzenie sprawy w świetle stanu prawnego ukształtowanego wyrokiem Trybunału Konstytucyjnego (wyrok SN z dnia 19 sierpnia 2010 r., IV CSK 54/10). Utrata mocy obowiązującej aktu normatywnego, o której mowa w art. 190 ust. 3 Konstytucji RP, oznacza że niekonstytucyjny akt prawny jest derogowany z systemu prawnego w sposób bezwzględny i bezwarunkowy, a zatem nie może być stosowany również do stanów faktycznych ukształtowanych w czasie, gdy jeszcze obowiązywał (M. Florczak-Wątor, Orzeczenia Trybunału Konstytucyjnego i ich skutki prawne, Poznań 2006, s. 72 i n.</w:t>
      </w:r>
      <w:r w:rsidRPr="00A17ED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).”</w:t>
      </w:r>
    </w:p>
    <w:p w:rsidR="004D3774" w:rsidRPr="00A17EDC" w:rsidRDefault="004D3774" w:rsidP="004D3774">
      <w:pPr>
        <w:pStyle w:val="Nagb3f3wek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17ED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Wznowienie postępowania, uchylenie lub stwierdzenie nieważności decyzji ostatecznej zakłada zatem wsteczne oddziaływanie tego skutku rozstrzygnięcia Trybunału Konstytucyjnego. Niezgodność określonej regulacji prawnej z Konstytucją jest bowiem stanem niezależnym od chwili orzekania w tym przedmiocie przez Trybunał. Nie można przyjmować, że przed opublikowaniem wyroku Trybunału Konstytucyjnego akt prawny był zgodny z Konstytucją, a dopiero ocena dokonana przez Trybunał pozbawia przepis przymiotu zgodności z ustawą zasadniczą, albowiem  w takim przypadku ocena obowiązywania aktu normatywnego z punktu widzenia zgodności danego aktu z Konstytucją uzależniona byłaby od chwili wydania orzeczenia przez Trybunał. Tylko ze względu na pewność i porządek obrotu prawnego oraz poszanowanie, jakiego wymagają decyzje ostateczne i prawomocne orzeczenia, ich wzruszenie z powodu wydania na podstawie przepisu pozbawionego mocy obowiązującej orzeczeniem Trybunału Konstytucyjnego może nastąpić        w trybie wznowienia postępowania lub stwierdzenia nieważności decyzji ostatecznej.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orzecznictwie przyjmuje się, że akt normatywny uchylony (w całości lub w części) na skutek orzeczenia Trybunału Konstytucyjnego, niezależnie od odroczenia utraty jego mocy obowiązującej, traci cechę domniemania konstytucyjności. Wzruszenie tego domniemania następuje już            z momentem ogłoszenia wyroku Trybunału na sali rozpraw (wyroki Trybunału Konstytucyjnego:    z dnia 27 kwietnia 2005 r. sygn. akt P 1/05, </w:t>
      </w:r>
      <w:proofErr w:type="spellStart"/>
      <w:r w:rsidRPr="00A17EDC">
        <w:rPr>
          <w:rFonts w:ascii="Times New Roman" w:hAnsi="Times New Roman" w:cs="Times New Roman"/>
        </w:rPr>
        <w:t>OTK-A</w:t>
      </w:r>
      <w:proofErr w:type="spellEnd"/>
      <w:r w:rsidRPr="00A17EDC">
        <w:rPr>
          <w:rFonts w:ascii="Times New Roman" w:hAnsi="Times New Roman" w:cs="Times New Roman"/>
        </w:rPr>
        <w:t xml:space="preserve"> z 2005 r. Nr 4, poz. 42; z dnia 13 marca 2007 r. sygn. akt K 8/07, </w:t>
      </w:r>
      <w:proofErr w:type="spellStart"/>
      <w:r w:rsidRPr="00A17EDC">
        <w:rPr>
          <w:rFonts w:ascii="Times New Roman" w:hAnsi="Times New Roman" w:cs="Times New Roman"/>
        </w:rPr>
        <w:t>OTK-A</w:t>
      </w:r>
      <w:proofErr w:type="spellEnd"/>
      <w:r w:rsidRPr="00A17EDC">
        <w:rPr>
          <w:rFonts w:ascii="Times New Roman" w:hAnsi="Times New Roman" w:cs="Times New Roman"/>
        </w:rPr>
        <w:t xml:space="preserve"> z 2007 r. Nr 3, poz. 26; z dnia 11 maja 2007 r. sygn. akt K 2/07, </w:t>
      </w:r>
      <w:proofErr w:type="spellStart"/>
      <w:r w:rsidRPr="00A17EDC">
        <w:rPr>
          <w:rFonts w:ascii="Times New Roman" w:hAnsi="Times New Roman" w:cs="Times New Roman"/>
        </w:rPr>
        <w:t>OTK-A</w:t>
      </w:r>
      <w:proofErr w:type="spellEnd"/>
      <w:r w:rsidRPr="00A17EDC">
        <w:rPr>
          <w:rFonts w:ascii="Times New Roman" w:hAnsi="Times New Roman" w:cs="Times New Roman"/>
        </w:rPr>
        <w:t xml:space="preserve">   z 2007 r. Nr 5, poz. 48). Z tą też chwilą nie ma już żadnych wątpliwości, że taki akt nie spełnia standardów konstytucyjnych. Zmiana w stanie prawnym wynikająca z orzeczenia Trybunału Konstytucyjnego uzasadnia konieczność przełamania zasady </w:t>
      </w:r>
      <w:proofErr w:type="spellStart"/>
      <w:r w:rsidRPr="00A17EDC">
        <w:rPr>
          <w:rFonts w:ascii="Times New Roman" w:hAnsi="Times New Roman" w:cs="Times New Roman"/>
        </w:rPr>
        <w:t>tempus</w:t>
      </w:r>
      <w:proofErr w:type="spellEnd"/>
      <w:r w:rsidRPr="00A17EDC">
        <w:rPr>
          <w:rFonts w:ascii="Times New Roman" w:hAnsi="Times New Roman" w:cs="Times New Roman"/>
        </w:rPr>
        <w:t xml:space="preserve"> </w:t>
      </w:r>
      <w:proofErr w:type="spellStart"/>
      <w:r w:rsidRPr="00A17EDC">
        <w:rPr>
          <w:rFonts w:ascii="Times New Roman" w:hAnsi="Times New Roman" w:cs="Times New Roman"/>
        </w:rPr>
        <w:t>regit</w:t>
      </w:r>
      <w:proofErr w:type="spellEnd"/>
      <w:r w:rsidRPr="00A17EDC">
        <w:rPr>
          <w:rFonts w:ascii="Times New Roman" w:hAnsi="Times New Roman" w:cs="Times New Roman"/>
        </w:rPr>
        <w:t xml:space="preserve"> </w:t>
      </w:r>
      <w:proofErr w:type="spellStart"/>
      <w:r w:rsidRPr="00A17EDC">
        <w:rPr>
          <w:rFonts w:ascii="Times New Roman" w:hAnsi="Times New Roman" w:cs="Times New Roman"/>
        </w:rPr>
        <w:t>actum</w:t>
      </w:r>
      <w:proofErr w:type="spellEnd"/>
      <w:r w:rsidRPr="00A17EDC">
        <w:rPr>
          <w:rFonts w:ascii="Times New Roman" w:hAnsi="Times New Roman" w:cs="Times New Roman"/>
        </w:rPr>
        <w:t xml:space="preserve"> i w konsekwencji rodzi potrzebę ponownego rozpoznania sprawy z pominięciem niekonstytucyjnej regulacji - mimo że regulacja taka była objęta domniemaniem konstytucyjności w dniu wydania decyzji (wyrok NSA z dnia 2 kwietnia 2014 r., I OSK 2296/12, dostępny na CBOSA).”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wyroku z dnia 6 sierpnia 2013 r. Sąd Najwyższy (II UK 6/13) podał, że skutkiem uznania       za niekonstytucyjne przepisów w określonym zakresie jest obowiązek zapewnienia przez wszystkie sądy, które orzekały na podstawie niekonstytucyjnych przepisów prawa, stanu zgodnego            z Konstytucją w zakresie wiążąco rozstrzygniętym wyrokiem Trybunału Konstytucyjnego (por. uchwałę z dnia 23 stycznia 2001 r., III ZP 30/00,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2001 r. Nr 23, poz. 685 i wyroki:     z dnia 5 września 2001 r., II UKN 542/00,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2004 r. Nr 2, poz. 36, z dnia 12 czerwca 2002 r., II UKN 419/01,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2002 r. Nr 23, poz. 58, z dnia 27 września 2002 r., II UKN 581/01,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2002 r. Nr 23, poz. 581, z dnia 18 grudnia 2002 r., I PKN 668/01, </w:t>
      </w:r>
      <w:proofErr w:type="spellStart"/>
      <w:r w:rsidRPr="00A17EDC">
        <w:rPr>
          <w:rFonts w:ascii="Times New Roman" w:hAnsi="Times New Roman" w:cs="Times New Roman"/>
        </w:rPr>
        <w:t>OSNAPiUS</w:t>
      </w:r>
      <w:proofErr w:type="spellEnd"/>
      <w:r w:rsidRPr="00A17EDC">
        <w:rPr>
          <w:rFonts w:ascii="Times New Roman" w:hAnsi="Times New Roman" w:cs="Times New Roman"/>
        </w:rPr>
        <w:t xml:space="preserve"> z 2004 r. Nr 3, poz. 47, z dnia 18 maja 2010 r., III UK 2/10, OSNP 2011 r. nr 21-22, poz. 278 i z dnia 4 lipca 2012 r., III UK 132/11 - niepublikowany, z dnia 8 października 2013 r., III UK 123/12). </w:t>
      </w:r>
    </w:p>
    <w:p w:rsidR="004D3774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W szczególności w wyroku z dnia 18 maja 2010 r., III UK 2/10 Sąd Najwyższy wyraził pogląd, że skutkiem utraty domniemania konstytucyjności ustawy w konsekwencji wydania przez Trybunał Konstytucyjny wyroku stwierdzającego niezgodność jej przepisu z Konstytucją, jest obowiązek zapewnienia przez sądy orzekające w sprawach, w których przepis ten ma zastosowanie, stanu zgodnego z Konstytucją wynikającego z wyroku Trybunału Konstytucyjnego. Skoro uznane za niezgodne z Konstytucją przepisy prawa naruszały ustawę zasadniczą już od dnia ich wejścia w życie (ex </w:t>
      </w:r>
      <w:proofErr w:type="spellStart"/>
      <w:r w:rsidRPr="00A17EDC">
        <w:rPr>
          <w:rFonts w:ascii="Times New Roman" w:hAnsi="Times New Roman" w:cs="Times New Roman"/>
        </w:rPr>
        <w:t>tunc</w:t>
      </w:r>
      <w:proofErr w:type="spellEnd"/>
      <w:r w:rsidRPr="00A17EDC">
        <w:rPr>
          <w:rFonts w:ascii="Times New Roman" w:hAnsi="Times New Roman" w:cs="Times New Roman"/>
        </w:rPr>
        <w:t xml:space="preserve">), to nie mogą być legalną podstawą orzekania przez sądy powszechne i Sąd Najwyższy (por. np. wyroki: z dnia 7 marca 2013 r., I UK 519/12; z dnia 24 kwietnia 2013 r., II UK 299/12; z dnia 25 kwietnia 2013 r., I UK 593/12; z dnia 29 maja 2013 r., I UK 621/12; z dnia        6 czerwca 2013 r., II UK 369/12). 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Jednocześnie w orzecznictwie Sądu Najwyższego zdecydowanie przeważa pogląd o skuteczności ex </w:t>
      </w:r>
      <w:proofErr w:type="spellStart"/>
      <w:r w:rsidRPr="00A17EDC">
        <w:rPr>
          <w:rFonts w:ascii="Times New Roman" w:hAnsi="Times New Roman" w:cs="Times New Roman"/>
        </w:rPr>
        <w:t>tunc</w:t>
      </w:r>
      <w:proofErr w:type="spellEnd"/>
      <w:r w:rsidRPr="00A17EDC">
        <w:rPr>
          <w:rFonts w:ascii="Times New Roman" w:hAnsi="Times New Roman" w:cs="Times New Roman"/>
        </w:rPr>
        <w:t xml:space="preserve"> wyroków Trybunału Konstytucyjnego (zob. uchwała składu siedmiu sędziów z dnia 7 grudnia 2006 r., III CZP 99/06, OSNC 2007, Nr 6, poz. 79, uchwały z dnia 23 stycznia 2001 r., III ZP 30/00, OSNP 2001, Nr 23, poz. 685, z dnia 3 lipca 2003 r., III CZP 45/03, OSNC 2004, Nr 9, poz. 136, z dnia 23 stycznia 2004 r. III CZP 112/03, OSNC 2005, Nr 4, poz. 61, z dnia 23 czerwca 2005 r., III CZP 35/05, OSNC 2006, Nr 5, poz. 81 i z dnia 19 maja 2006 r. III CZP 26/06, OSNC 2007, Nr 3, poz. 39 oraz wyroki z dnia 10 listopada 1999 r., I CKN 204/98, OSNC 2000, Nr 5, poz. 94, z dnia 19 grudnia 1999 r., I CKN 632/98,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19 kwietnia 2000 r., II CKN 272/00,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15 stycznia 2003 r. IV CKN 1693/00,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9 października 2003 r., I CK 150/02, OSNC 2004, nr 7-8, poz. 132, ze </w:t>
      </w:r>
      <w:proofErr w:type="spellStart"/>
      <w:r w:rsidRPr="00A17EDC">
        <w:rPr>
          <w:rFonts w:ascii="Times New Roman" w:hAnsi="Times New Roman" w:cs="Times New Roman"/>
        </w:rPr>
        <w:t>sprost</w:t>
      </w:r>
      <w:proofErr w:type="spellEnd"/>
      <w:r w:rsidRPr="00A17EDC">
        <w:rPr>
          <w:rFonts w:ascii="Times New Roman" w:hAnsi="Times New Roman" w:cs="Times New Roman"/>
        </w:rPr>
        <w:t xml:space="preserve">. OSNC 2004, nr 10, s. 131, z dnia 29 października 2003 r., III CK 34/02, OSP 2005, Nr 4, poz. 54, z dnia 30 września 2004 r., IV CK 20/04, OSNC 2005, Nr 9, poz. 161, z dnia 26 listopada 2004 r., V CK 270/04,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12 stycznia 2005 r., I CK 457/04,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7 października 2005 r., II CK 756/04, "Monitor Prawniczy" 2005,    nr 21, s. 1027, z dnia 14 września 2006 r., III CSK 102/06,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15 czerwca 2007 r.,     II CNP 37/07,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13 grudnia 2007 r., I CSK 315/07,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., z dnia 19 czerwca 2008 r. V CSK 31/08, </w:t>
      </w:r>
      <w:proofErr w:type="spellStart"/>
      <w:r w:rsidRPr="00A17EDC">
        <w:rPr>
          <w:rFonts w:ascii="Times New Roman" w:hAnsi="Times New Roman" w:cs="Times New Roman"/>
        </w:rPr>
        <w:t>OSNC-ZD</w:t>
      </w:r>
      <w:proofErr w:type="spellEnd"/>
      <w:r w:rsidRPr="00A17EDC">
        <w:rPr>
          <w:rFonts w:ascii="Times New Roman" w:hAnsi="Times New Roman" w:cs="Times New Roman"/>
        </w:rPr>
        <w:t xml:space="preserve"> 2009, Nr 1, poz. 16, z dnia 20 maja 2009 r., I CSK 379/08, OSNC 2009, Nr 10, poz. 172 i z dnia 10 grudnia 2009 r., III CSK 110/09, OSNC 2010, Nr 5, poz. 82, a także postanowienia z dnia 7 grudnia 2000 r., III ZP 27/00, OSNAPUS 2001, Nr 10, poz. 331 i z dnia    15 kwietnia 2004 r., IV CK 272/03, </w:t>
      </w:r>
      <w:proofErr w:type="spellStart"/>
      <w:r w:rsidRPr="00A17EDC">
        <w:rPr>
          <w:rFonts w:ascii="Times New Roman" w:hAnsi="Times New Roman" w:cs="Times New Roman"/>
        </w:rPr>
        <w:t>niepubl</w:t>
      </w:r>
      <w:proofErr w:type="spellEnd"/>
      <w:r w:rsidRPr="00A17EDC">
        <w:rPr>
          <w:rFonts w:ascii="Times New Roman" w:hAnsi="Times New Roman" w:cs="Times New Roman"/>
        </w:rPr>
        <w:t xml:space="preserve">.). 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</w:rPr>
        <w:t xml:space="preserve">Identyczny pogląd prezentowany jest również w orzecznictwie sadów administracyjnych, gdzie podnosi się, że skoro orzeczenie Trybunału Konstytucyjnego o niezgodności przepisu z Konstytucją mają, co zasady, skutek wsteczny (ex </w:t>
      </w:r>
      <w:proofErr w:type="spellStart"/>
      <w:r w:rsidRPr="00A17EDC">
        <w:rPr>
          <w:rFonts w:ascii="Times New Roman" w:hAnsi="Times New Roman" w:cs="Times New Roman"/>
        </w:rPr>
        <w:t>tunc</w:t>
      </w:r>
      <w:proofErr w:type="spellEnd"/>
      <w:r w:rsidRPr="00A17EDC">
        <w:rPr>
          <w:rFonts w:ascii="Times New Roman" w:hAnsi="Times New Roman" w:cs="Times New Roman"/>
        </w:rPr>
        <w:t>), to oznacza że przepis jest niekonstytucyjny od chwili jego wejścia w życie (postanowienie NSA z dnia 9 października 2007 r., I FSK 1261/07, wyrok NSA z 15 listopada 2006 r., II OSK 1349/05, wyrok NSA z dnia 9 marca 2010 r., I FSK 105/09). Zatem w zakresie stosowania prawa wyrok Trybunału odnosi skutek retroaktywny, wpływając     na ocenę prawną stanów faktycznych powstałych w okresie poprzedzającym wejście w życie orzeczeń Trybunału.</w:t>
      </w:r>
    </w:p>
    <w:p w:rsidR="004D3774" w:rsidRPr="00A17EDC" w:rsidRDefault="004D3774" w:rsidP="004D3774">
      <w:pPr>
        <w:pStyle w:val="Tre9ce6tekstu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Orzeczenie Trybunału Konstytucyjnego w zakresie stosowania odnosi skutek retroaktywny, wsteczny, wpływając na ocenę prawną stanów faktycznych powstałych w okresie poprzedzającym wejście w życie orzeczenia Trybunału. Fakt wydania przez Trybunał Konstytucyjny wyroku orzekającego o niekonstytucyjności aktu normatywnego, na podstawie którego zostały wydane kontrolowane w sprawie decyzje, nie pozostaje bez znaczenia dla oceny ich legalności. Sąd powinien bezpośrednio zastosować art. 190 ust. 1 i 4 Konstytucji RP (uchwała składu 7 sędziów Naczelnego Sądu Administracyjnego z dnia 7 grudnia 2009 r. sygn. akt I OPS 9/09, </w:t>
      </w:r>
      <w:proofErr w:type="spellStart"/>
      <w:r w:rsidRPr="00A17EDC">
        <w:rPr>
          <w:rFonts w:ascii="Times New Roman" w:hAnsi="Times New Roman" w:cs="Times New Roman"/>
          <w:color w:val="000000"/>
        </w:rPr>
        <w:t>ONSAiWSA</w:t>
      </w:r>
      <w:proofErr w:type="spellEnd"/>
      <w:r w:rsidRPr="00A17EDC">
        <w:rPr>
          <w:rFonts w:ascii="Times New Roman" w:hAnsi="Times New Roman" w:cs="Times New Roman"/>
          <w:color w:val="000000"/>
        </w:rPr>
        <w:t xml:space="preserve"> z 2010 r. Nr 2, poz. 16) i uwzględnić wyrok Trybunału Konstytucyjnego w celu przywrócenia stanu zgodności z Konstytucją RP kontrolowanych rozstrzygnięć (wyrok NSA z dnia 12 października 2016 r., II OSK 3334/14)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W kolejnym wyroku Naczelny Sąd Administracyjny wskazał, że przepis uznany przez Trybunał za niekonstytucyjny ma taki charakter od samego początku, tj. od dnia jego wejścia w życie. Fakt ten musi być brany pod uwagę przy kontroli aktu administracyjnego podjętego na podstawie niekonstytucyjnego przepisu (wyrok NSA z dnia 6 lutego 2008 r., II OSK 1745/07, </w:t>
      </w:r>
      <w:proofErr w:type="spellStart"/>
      <w:r w:rsidRPr="00A17EDC">
        <w:rPr>
          <w:rFonts w:ascii="Times New Roman" w:hAnsi="Times New Roman" w:cs="Times New Roman"/>
          <w:color w:val="000000"/>
        </w:rPr>
        <w:t>Lex</w:t>
      </w:r>
      <w:proofErr w:type="spellEnd"/>
      <w:r w:rsidRPr="00A17EDC">
        <w:rPr>
          <w:rFonts w:ascii="Times New Roman" w:hAnsi="Times New Roman" w:cs="Times New Roman"/>
          <w:color w:val="000000"/>
        </w:rPr>
        <w:t xml:space="preserve"> nr 357511). </w:t>
      </w:r>
    </w:p>
    <w:p w:rsidR="004D3774" w:rsidRPr="00A17EDC" w:rsidRDefault="004D3774" w:rsidP="004D3774">
      <w:pPr>
        <w:ind w:firstLine="708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17EDC">
        <w:rPr>
          <w:rFonts w:ascii="Times New Roman" w:hAnsi="Times New Roman" w:cs="Times New Roman"/>
          <w:color w:val="000000"/>
        </w:rPr>
        <w:t xml:space="preserve">Przytoczona wyżej argumentacja zaczerpnięta z opinii autorytetów oraz z wyroków wydawanych przez sądy, w tym przez Naczelny Sąd Administracyjny w pełni uzasadnia tezę, że odmowa wypłacenia mi należnego wyrównania ekwiwalentu za niewykorzystany urlop jest pozbawiona podstaw prawnych. </w:t>
      </w: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Ustawą o szczególnych rozwiązaniach nie można pozbawić mnie należnego świadczenia, którego mam prawo dochodzić w wyniku orzeczenia Trybunału Konstytucyjnego z dnia 30 października 2018 r. w sprawie sygn. akt K 7/15.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ind w:firstLine="709"/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Wobec powyższego </w:t>
      </w:r>
      <w:proofErr w:type="spellStart"/>
      <w:r w:rsidRPr="00A17EDC">
        <w:rPr>
          <w:rFonts w:ascii="Times New Roman" w:hAnsi="Times New Roman" w:cs="Times New Roman"/>
          <w:color w:val="000000"/>
        </w:rPr>
        <w:t>powyższego</w:t>
      </w:r>
      <w:proofErr w:type="spellEnd"/>
      <w:r w:rsidRPr="00A17EDC">
        <w:rPr>
          <w:rFonts w:ascii="Times New Roman" w:hAnsi="Times New Roman" w:cs="Times New Roman"/>
          <w:color w:val="000000"/>
        </w:rPr>
        <w:t xml:space="preserve"> wnoszę jak na wstępie.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right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A17EDC">
        <w:rPr>
          <w:rFonts w:ascii="Times New Roman" w:hAnsi="Times New Roman" w:cs="Times New Roman"/>
          <w:color w:val="000000"/>
        </w:rPr>
        <w:t>…………………………………………...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  <w:color w:val="000000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Załączniki: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 xml:space="preserve">1) egz. Nr 2 odwołania od Decyzji dla ……….. </w:t>
      </w:r>
      <w:r w:rsidRPr="00A17EDC">
        <w:rPr>
          <w:rFonts w:ascii="Times New Roman" w:hAnsi="Times New Roman" w:cs="Times New Roman"/>
          <w:i/>
          <w:iCs/>
          <w:color w:val="000000"/>
        </w:rPr>
        <w:t>(wpisać komendanta, który wydał decyzję odmowną),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2) kopia wniosku z dnia ……..,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  <w:r w:rsidRPr="00A17EDC">
        <w:rPr>
          <w:rFonts w:ascii="Times New Roman" w:hAnsi="Times New Roman" w:cs="Times New Roman"/>
          <w:color w:val="000000"/>
        </w:rPr>
        <w:t>3) Decyzja odmowna z dnia…….. .</w:t>
      </w: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pStyle w:val="Tre9ce6tekstu"/>
        <w:spacing w:after="0" w:line="240" w:lineRule="auto"/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  <w:sectPr w:rsidR="004D3774" w:rsidRPr="00A17EDC" w:rsidSect="004D3774">
          <w:pgSz w:w="11906" w:h="16838"/>
          <w:pgMar w:top="1134" w:right="1134" w:bottom="1134" w:left="1134" w:header="708" w:footer="708" w:gutter="0"/>
          <w:cols w:space="708"/>
          <w:formProt w:val="0"/>
          <w:noEndnote/>
        </w:sectPr>
      </w:pPr>
    </w:p>
    <w:p w:rsidR="004D3774" w:rsidRPr="00A17EDC" w:rsidRDefault="004D3774" w:rsidP="004D3774">
      <w:pPr>
        <w:pStyle w:val="Tre9ce6tekstu"/>
        <w:spacing w:after="0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4D3774" w:rsidRPr="00A17EDC" w:rsidRDefault="004D3774" w:rsidP="004D3774">
      <w:pPr>
        <w:jc w:val="both"/>
        <w:rPr>
          <w:rFonts w:ascii="Times New Roman" w:hAnsi="Times New Roman" w:cs="Times New Roman"/>
        </w:rPr>
      </w:pPr>
    </w:p>
    <w:p w:rsidR="005A787E" w:rsidRDefault="005A787E"/>
    <w:sectPr w:rsidR="005A787E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4D3774"/>
    <w:rsid w:val="004D3774"/>
    <w:rsid w:val="005A787E"/>
    <w:rsid w:val="00A4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4D3774"/>
    <w:pPr>
      <w:keepNext/>
      <w:spacing w:before="200" w:after="120"/>
    </w:pPr>
    <w:rPr>
      <w:rFonts w:ascii="Liberation Sans" w:eastAsia="Times New Roman" w:cs="Liberation Sans"/>
      <w:b/>
      <w:bCs/>
      <w:sz w:val="36"/>
      <w:szCs w:val="36"/>
    </w:rPr>
  </w:style>
  <w:style w:type="paragraph" w:customStyle="1" w:styleId="Nagb3f3wek3">
    <w:name w:val="Nagłb3óf3wek 3"/>
    <w:basedOn w:val="Normalny"/>
    <w:uiPriority w:val="99"/>
    <w:rsid w:val="004D3774"/>
    <w:pPr>
      <w:keepNext/>
      <w:spacing w:before="140" w:after="120"/>
    </w:pPr>
    <w:rPr>
      <w:rFonts w:ascii="Liberation Sans" w:eastAsia="Times New Roman" w:cs="Liberation Sans"/>
      <w:b/>
      <w:bCs/>
      <w:sz w:val="28"/>
      <w:szCs w:val="28"/>
    </w:rPr>
  </w:style>
  <w:style w:type="character" w:customStyle="1" w:styleId="igpindeksgrnyipogrubienie">
    <w:name w:val="igpindeksgrnyipogrubienie"/>
    <w:basedOn w:val="Domylnaczcionkaakapitu"/>
    <w:uiPriority w:val="99"/>
    <w:rsid w:val="004D3774"/>
    <w:rPr>
      <w:rFonts w:cs="Times New Roman"/>
    </w:rPr>
  </w:style>
  <w:style w:type="paragraph" w:customStyle="1" w:styleId="Tre9ce6tekstu">
    <w:name w:val="Treś9cće6 tekstu"/>
    <w:basedOn w:val="Normalny"/>
    <w:uiPriority w:val="99"/>
    <w:rsid w:val="004D3774"/>
    <w:pPr>
      <w:spacing w:after="140" w:line="276" w:lineRule="auto"/>
    </w:pPr>
  </w:style>
  <w:style w:type="paragraph" w:customStyle="1" w:styleId="oznrodzaktutznustawalubrozporzdzenieiorganwydajcy">
    <w:name w:val="oznrodzaktutznustawalubrozporzdzenieiorganwydajcy"/>
    <w:basedOn w:val="Normalny"/>
    <w:uiPriority w:val="99"/>
    <w:rsid w:val="004D3774"/>
    <w:pPr>
      <w:spacing w:beforeAutospacing="1" w:afterAutospacing="1"/>
    </w:pPr>
    <w:rPr>
      <w:rFonts w:ascii="Times New Roman"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2899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2020-10-28T18:33:00Z</dcterms:created>
  <dcterms:modified xsi:type="dcterms:W3CDTF">2020-10-28T18:33:00Z</dcterms:modified>
</cp:coreProperties>
</file>